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29C" w:rsidRPr="005C229C" w:rsidRDefault="005C229C" w:rsidP="005C229C">
      <w:pPr>
        <w:spacing w:after="120" w:line="330" w:lineRule="atLeast"/>
        <w:textAlignment w:val="baseline"/>
        <w:outlineLvl w:val="1"/>
        <w:rPr>
          <w:rFonts w:ascii="Arial" w:eastAsia="Times New Roman" w:hAnsi="Arial" w:cs="Arial"/>
          <w:b/>
          <w:bCs/>
          <w:color w:val="37362A"/>
          <w:sz w:val="48"/>
          <w:szCs w:val="48"/>
          <w:lang w:eastAsia="es-CO"/>
        </w:rPr>
      </w:pPr>
      <w:r w:rsidRPr="005C229C">
        <w:rPr>
          <w:rFonts w:ascii="Arial" w:eastAsia="Times New Roman" w:hAnsi="Arial" w:cs="Arial"/>
          <w:b/>
          <w:bCs/>
          <w:color w:val="37362A"/>
          <w:sz w:val="48"/>
          <w:szCs w:val="48"/>
          <w:lang w:eastAsia="es-CO"/>
        </w:rPr>
        <w:t xml:space="preserve">Paneles </w:t>
      </w:r>
      <w:proofErr w:type="spellStart"/>
      <w:r w:rsidRPr="005C229C">
        <w:rPr>
          <w:rFonts w:ascii="Arial" w:eastAsia="Times New Roman" w:hAnsi="Arial" w:cs="Arial"/>
          <w:b/>
          <w:bCs/>
          <w:color w:val="37362A"/>
          <w:sz w:val="48"/>
          <w:szCs w:val="48"/>
          <w:lang w:eastAsia="es-CO"/>
        </w:rPr>
        <w:t>MiEA</w:t>
      </w:r>
      <w:proofErr w:type="spellEnd"/>
    </w:p>
    <w:p w:rsidR="005C229C" w:rsidRPr="005C229C" w:rsidRDefault="005C229C" w:rsidP="005C229C">
      <w:pPr>
        <w:spacing w:after="0" w:line="300" w:lineRule="atLeast"/>
        <w:jc w:val="both"/>
        <w:textAlignment w:val="baseline"/>
        <w:rPr>
          <w:rFonts w:ascii="inherit" w:eastAsia="Times New Roman" w:hAnsi="inherit" w:cs="Arial"/>
          <w:color w:val="222222"/>
          <w:sz w:val="21"/>
          <w:szCs w:val="21"/>
          <w:lang w:eastAsia="es-CO"/>
        </w:rPr>
      </w:pPr>
      <w:r w:rsidRPr="005C229C">
        <w:rPr>
          <w:rFonts w:ascii="inherit" w:eastAsia="Times New Roman" w:hAnsi="inherit" w:cs="Arial"/>
          <w:noProof/>
          <w:color w:val="950501"/>
          <w:sz w:val="21"/>
          <w:szCs w:val="21"/>
          <w:bdr w:val="none" w:sz="0" w:space="0" w:color="auto" w:frame="1"/>
          <w:lang w:eastAsia="es-CO"/>
        </w:rPr>
        <w:drawing>
          <wp:inline distT="0" distB="0" distL="0" distR="0">
            <wp:extent cx="5612130" cy="2032635"/>
            <wp:effectExtent l="0" t="0" r="7620" b="5715"/>
            <wp:docPr id="1" name="Imagen 1">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2032635"/>
                    </a:xfrm>
                    <a:prstGeom prst="rect">
                      <a:avLst/>
                    </a:prstGeom>
                    <a:noFill/>
                    <a:ln>
                      <a:noFill/>
                    </a:ln>
                  </pic:spPr>
                </pic:pic>
              </a:graphicData>
            </a:graphic>
          </wp:inline>
        </w:drawing>
      </w:r>
    </w:p>
    <w:p w:rsidR="005C229C" w:rsidRPr="005C229C" w:rsidRDefault="005C229C" w:rsidP="005C229C">
      <w:pPr>
        <w:spacing w:after="150" w:line="300" w:lineRule="atLeast"/>
        <w:jc w:val="both"/>
        <w:textAlignment w:val="baseline"/>
        <w:rPr>
          <w:rFonts w:ascii="inherit" w:eastAsia="Times New Roman" w:hAnsi="inherit" w:cs="Arial"/>
          <w:color w:val="222222"/>
          <w:sz w:val="21"/>
          <w:szCs w:val="21"/>
          <w:lang w:eastAsia="es-CO"/>
        </w:rPr>
      </w:pPr>
      <w:r w:rsidRPr="005C229C">
        <w:rPr>
          <w:rFonts w:ascii="inherit" w:eastAsia="Times New Roman" w:hAnsi="inherit" w:cs="Arial"/>
          <w:b/>
          <w:bCs/>
          <w:color w:val="222222"/>
          <w:sz w:val="21"/>
          <w:szCs w:val="21"/>
          <w:lang w:eastAsia="es-CO"/>
        </w:rPr>
        <w:t>1.</w:t>
      </w:r>
      <w:r w:rsidRPr="005C229C">
        <w:rPr>
          <w:rFonts w:ascii="inherit" w:eastAsia="Times New Roman" w:hAnsi="inherit" w:cs="Arial"/>
          <w:color w:val="222222"/>
          <w:sz w:val="21"/>
          <w:szCs w:val="21"/>
          <w:lang w:eastAsia="es-CO"/>
        </w:rPr>
        <w:t>  La elección de las parejas para trabajar. Puede ver en el panel INFO a continuación, hay números para cada par (16), para seleccionar el requerido solo presione el botón con el número de par y comience a trabajar. De las opciones que hay: Abrir una orden (11), cerrar todas las órdenes para el par seleccionado (4), cerrar solo las órdenes que están en territorio positivo (2), cerrar solo las órdenes que están en pérdida (3). Por defecto, el par no está seleccionado; trabaje con el par en el que está instalado el asesor.</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2.</w:t>
      </w:r>
      <w:r w:rsidRPr="005C229C">
        <w:rPr>
          <w:rFonts w:ascii="inherit" w:eastAsia="Times New Roman" w:hAnsi="inherit" w:cs="Arial"/>
          <w:color w:val="222222"/>
          <w:sz w:val="21"/>
          <w:szCs w:val="21"/>
          <w:lang w:eastAsia="es-CO"/>
        </w:rPr>
        <w:t>  Un botón que se encarga de cerrar todos los pedidos positivos para el par seleccionado (1).</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3.</w:t>
      </w:r>
      <w:r w:rsidRPr="005C229C">
        <w:rPr>
          <w:rFonts w:ascii="inherit" w:eastAsia="Times New Roman" w:hAnsi="inherit" w:cs="Arial"/>
          <w:color w:val="222222"/>
          <w:sz w:val="21"/>
          <w:szCs w:val="21"/>
          <w:lang w:eastAsia="es-CO"/>
        </w:rPr>
        <w:t>  El botón que se encarga de cerrar todas las órdenes negativas para el par seleccionado (1).</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4.</w:t>
      </w:r>
      <w:r w:rsidRPr="005C229C">
        <w:rPr>
          <w:rFonts w:ascii="inherit" w:eastAsia="Times New Roman" w:hAnsi="inherit" w:cs="Arial"/>
          <w:color w:val="222222"/>
          <w:sz w:val="21"/>
          <w:szCs w:val="21"/>
          <w:lang w:eastAsia="es-CO"/>
        </w:rPr>
        <w:t>  Un botón que se encarga de cerrar todos los pedidos del par seleccionado (1).</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5)</w:t>
      </w:r>
      <w:r w:rsidRPr="005C229C">
        <w:rPr>
          <w:rFonts w:ascii="inherit" w:eastAsia="Times New Roman" w:hAnsi="inherit" w:cs="Arial"/>
          <w:color w:val="222222"/>
          <w:sz w:val="21"/>
          <w:szCs w:val="21"/>
          <w:lang w:eastAsia="es-CO"/>
        </w:rPr>
        <w:t> El botón que se encarga de cerrar todas las órdenes que el EA abrió para los nueve pares. En otras palabras, el botón de emergencia "Cerrar todo".</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6.</w:t>
      </w:r>
      <w:r w:rsidRPr="005C229C">
        <w:rPr>
          <w:rFonts w:ascii="inherit" w:eastAsia="Times New Roman" w:hAnsi="inherit" w:cs="Arial"/>
          <w:color w:val="222222"/>
          <w:sz w:val="21"/>
          <w:szCs w:val="21"/>
          <w:lang w:eastAsia="es-CO"/>
        </w:rPr>
        <w:t>  Botón para habilitar / deshabilitar el comercio automático. Para pasar completamente al control manual, a veces es necesario deshabilitar el algoritmo para abrir transacciones por un asesor, esto es exactamente para lo que está hecho este botón. Cuando el botón de negociación automática está desactivado, toda la funcionalidad del asesor funcionará, pero no abrirá las órdenes iniciales ni las cerrará cuando se alcance la ganancia. Cuando está deshabilitado, el porcentaje de detención continúa funcionando.</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7)</w:t>
      </w:r>
      <w:r w:rsidRPr="005C229C">
        <w:rPr>
          <w:rFonts w:ascii="inherit" w:eastAsia="Times New Roman" w:hAnsi="inherit" w:cs="Arial"/>
          <w:color w:val="222222"/>
          <w:sz w:val="21"/>
          <w:szCs w:val="21"/>
          <w:lang w:eastAsia="es-CO"/>
        </w:rPr>
        <w:t> Botón para habilitar / deshabilitar la acumulación de pedidos si el precio va hacia la entrada inicial. Cada nueva entrada se lleva a cabo si hubo una señal repetida, si el beneficio del par es mayor que cero, si hay un paso específico entre el nuevo y el último pedido.</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8.</w:t>
      </w:r>
      <w:r w:rsidRPr="005C229C">
        <w:rPr>
          <w:rFonts w:ascii="inherit" w:eastAsia="Times New Roman" w:hAnsi="inherit" w:cs="Arial"/>
          <w:color w:val="222222"/>
          <w:sz w:val="21"/>
          <w:szCs w:val="21"/>
          <w:lang w:eastAsia="es-CO"/>
        </w:rPr>
        <w:t>  Botón para habilitar / deshabilitar la acumulación de pedidos si el precio va en la dirección opuesta a la entrada inicial. Cada nueva entrada se lleva a cabo si hubo una señal repetida, si no hay un pedido rentable, si hay un paso específico entre el nuevo y el último pedido.</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9)</w:t>
      </w:r>
      <w:r w:rsidRPr="005C229C">
        <w:rPr>
          <w:rFonts w:ascii="inherit" w:eastAsia="Times New Roman" w:hAnsi="inherit" w:cs="Arial"/>
          <w:color w:val="222222"/>
          <w:sz w:val="21"/>
          <w:szCs w:val="21"/>
          <w:lang w:eastAsia="es-CO"/>
        </w:rPr>
        <w:t xml:space="preserve"> Botón de encendido / apagado para operar el terminal móvil MT4. Muchos operadores que trabajan con asesores o sistemas comerciales se enfrentan al hecho de que no hay forma de controlar de forma rápida y cómoda al asesor de forma remota desde un terminal móvil. Por ejemplo, cierre todos los pedidos de un par, o todos los pedidos de una cuenta con el clic de un botón, o inicie una cuadrícula de pedidos en la dirección deseada para el par deseado. En </w:t>
      </w:r>
      <w:proofErr w:type="spellStart"/>
      <w:r w:rsidRPr="005C229C">
        <w:rPr>
          <w:rFonts w:ascii="inherit" w:eastAsia="Times New Roman" w:hAnsi="inherit" w:cs="Arial"/>
          <w:color w:val="222222"/>
          <w:sz w:val="21"/>
          <w:szCs w:val="21"/>
          <w:lang w:eastAsia="es-CO"/>
        </w:rPr>
        <w:t>MiEA</w:t>
      </w:r>
      <w:proofErr w:type="spellEnd"/>
      <w:r w:rsidRPr="005C229C">
        <w:rPr>
          <w:rFonts w:ascii="inherit" w:eastAsia="Times New Roman" w:hAnsi="inherit" w:cs="Arial"/>
          <w:color w:val="222222"/>
          <w:sz w:val="21"/>
          <w:szCs w:val="21"/>
          <w:lang w:eastAsia="es-CO"/>
        </w:rPr>
        <w:t>, esto se implementa.</w:t>
      </w:r>
      <w:r w:rsidRPr="005C229C">
        <w:rPr>
          <w:rFonts w:ascii="inherit" w:eastAsia="Times New Roman" w:hAnsi="inherit" w:cs="Arial"/>
          <w:color w:val="222222"/>
          <w:sz w:val="21"/>
          <w:szCs w:val="21"/>
          <w:lang w:eastAsia="es-CO"/>
        </w:rPr>
        <w:br/>
        <w:t>Capacidades:</w:t>
      </w:r>
      <w:r w:rsidRPr="005C229C">
        <w:rPr>
          <w:rFonts w:ascii="inherit" w:eastAsia="Times New Roman" w:hAnsi="inherit" w:cs="Arial"/>
          <w:color w:val="222222"/>
          <w:sz w:val="21"/>
          <w:szCs w:val="21"/>
          <w:lang w:eastAsia="es-CO"/>
        </w:rPr>
        <w:br/>
      </w:r>
      <w:r w:rsidRPr="005C229C">
        <w:rPr>
          <w:rFonts w:ascii="inherit" w:eastAsia="Times New Roman" w:hAnsi="inherit" w:cs="Arial"/>
          <w:color w:val="222222"/>
          <w:sz w:val="21"/>
          <w:szCs w:val="21"/>
          <w:lang w:eastAsia="es-CO"/>
        </w:rPr>
        <w:lastRenderedPageBreak/>
        <w:t>- Para establecer la dirección del comercio (abrir el primer pedido inicial), solo asegúrese de que el EA no tenga pedidos para este par y abra un pedido con cualquier lote en la dirección correcta (preferiblemente con un mínimo). Al mismo tiempo, el asesor abrirá su orden en esta dirección y continuará realizando una serie de órdenes como propias.</w:t>
      </w:r>
      <w:r w:rsidRPr="005C229C">
        <w:rPr>
          <w:rFonts w:ascii="inherit" w:eastAsia="Times New Roman" w:hAnsi="inherit" w:cs="Arial"/>
          <w:color w:val="222222"/>
          <w:sz w:val="21"/>
          <w:szCs w:val="21"/>
          <w:lang w:eastAsia="es-CO"/>
        </w:rPr>
        <w:br/>
        <w:t>- Para cerrar todas las órdenes para el par deseado, es suficiente abrir una orden con cualquier lote (preferiblemente con un mínimo) en la dirección opuesta a la dirección de la operación del asesor. Es decir, si el EA realiza una serie como VENDER, entonces se abre un pedido de COMPRA para el mismo par desde el terminal móvil, el EA tomará esto como una señal para cerrar todos los pedidos de este par.</w:t>
      </w:r>
      <w:r w:rsidRPr="005C229C">
        <w:rPr>
          <w:rFonts w:ascii="inherit" w:eastAsia="Times New Roman" w:hAnsi="inherit" w:cs="Arial"/>
          <w:color w:val="222222"/>
          <w:sz w:val="21"/>
          <w:szCs w:val="21"/>
          <w:lang w:eastAsia="es-CO"/>
        </w:rPr>
        <w:br/>
        <w:t xml:space="preserve">- Para cerrar todas las órdenes de asesor para todos los pares al mismo tiempo, es suficiente abrir la orden en cualquier dirección de acuerdo con el par especificado en la configuración de cierre. El parámetro que es responsable de seleccionar el par en la configuración se muestra como </w:t>
      </w:r>
      <w:proofErr w:type="spellStart"/>
      <w:r w:rsidRPr="005C229C">
        <w:rPr>
          <w:rFonts w:ascii="inherit" w:eastAsia="Times New Roman" w:hAnsi="inherit" w:cs="Arial"/>
          <w:color w:val="222222"/>
          <w:sz w:val="21"/>
          <w:szCs w:val="21"/>
          <w:lang w:eastAsia="es-CO"/>
        </w:rPr>
        <w:t>MobClosPair</w:t>
      </w:r>
      <w:proofErr w:type="spellEnd"/>
      <w:r w:rsidRPr="005C229C">
        <w:rPr>
          <w:rFonts w:ascii="inherit" w:eastAsia="Times New Roman" w:hAnsi="inherit" w:cs="Arial"/>
          <w:color w:val="222222"/>
          <w:sz w:val="21"/>
          <w:szCs w:val="21"/>
          <w:lang w:eastAsia="es-CO"/>
        </w:rPr>
        <w:t xml:space="preserve"> y por defecto es EURAUD. Es decir, si necesita cerrar todos los pedidos, en el terminal móvil se abre un pedido en cualquier dirección para el par EURAUD, el asesor tomará esto como una señal para cerrar todos los pedidos.</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10)</w:t>
      </w:r>
      <w:r w:rsidRPr="005C229C">
        <w:rPr>
          <w:rFonts w:ascii="inherit" w:eastAsia="Times New Roman" w:hAnsi="inherit" w:cs="Arial"/>
          <w:color w:val="222222"/>
          <w:sz w:val="21"/>
          <w:szCs w:val="21"/>
          <w:lang w:eastAsia="es-CO"/>
        </w:rPr>
        <w:t xml:space="preserve"> Botón de encendido / apagado para cerrar pedidos rentables por la noche. El asesor de </w:t>
      </w:r>
      <w:proofErr w:type="spellStart"/>
      <w:r w:rsidRPr="005C229C">
        <w:rPr>
          <w:rFonts w:ascii="inherit" w:eastAsia="Times New Roman" w:hAnsi="inherit" w:cs="Arial"/>
          <w:color w:val="222222"/>
          <w:sz w:val="21"/>
          <w:szCs w:val="21"/>
          <w:lang w:eastAsia="es-CO"/>
        </w:rPr>
        <w:t>MiEA</w:t>
      </w:r>
      <w:proofErr w:type="spellEnd"/>
      <w:r w:rsidRPr="005C229C">
        <w:rPr>
          <w:rFonts w:ascii="inherit" w:eastAsia="Times New Roman" w:hAnsi="inherit" w:cs="Arial"/>
          <w:color w:val="222222"/>
          <w:sz w:val="21"/>
          <w:szCs w:val="21"/>
          <w:lang w:eastAsia="es-CO"/>
        </w:rPr>
        <w:t xml:space="preserve"> tiene configuraciones para el tiempo de funcionamiento en horas. Por defecto, es de 02:00 a 22:00 en la hora del terminal. Si el botón de descarga nocturna está activado, al llegar a </w:t>
      </w:r>
      <w:proofErr w:type="spellStart"/>
      <w:r w:rsidRPr="005C229C">
        <w:rPr>
          <w:rFonts w:ascii="inherit" w:eastAsia="Times New Roman" w:hAnsi="inherit" w:cs="Arial"/>
          <w:color w:val="222222"/>
          <w:sz w:val="21"/>
          <w:szCs w:val="21"/>
          <w:lang w:eastAsia="es-CO"/>
        </w:rPr>
        <w:t>TimeEnd</w:t>
      </w:r>
      <w:proofErr w:type="spellEnd"/>
      <w:r w:rsidRPr="005C229C">
        <w:rPr>
          <w:rFonts w:ascii="inherit" w:eastAsia="Times New Roman" w:hAnsi="inherit" w:cs="Arial"/>
          <w:color w:val="222222"/>
          <w:sz w:val="21"/>
          <w:szCs w:val="21"/>
          <w:lang w:eastAsia="es-CO"/>
        </w:rPr>
        <w:t xml:space="preserve"> (22:00), el asesor cerrará todas las órdenes rentables, restableciendo así el volumen de operaciones y liberando el margen, antes de cambiar a un nuevo día y, como suele ser el caso, expansión extendida.</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11.</w:t>
      </w:r>
      <w:r w:rsidRPr="005C229C">
        <w:rPr>
          <w:rFonts w:ascii="inherit" w:eastAsia="Times New Roman" w:hAnsi="inherit" w:cs="Arial"/>
          <w:color w:val="222222"/>
          <w:sz w:val="21"/>
          <w:szCs w:val="21"/>
          <w:lang w:eastAsia="es-CO"/>
        </w:rPr>
        <w:t>  COMPRAR, VENDER botones. Hecho para apertura manual de pedidos. El lote se configura en forma de riesgo en la configuración del asesor y se muestra en los botones para que el usuario entienda con qué lote se abrirá el pedido.</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12)</w:t>
      </w:r>
      <w:r w:rsidRPr="005C229C">
        <w:rPr>
          <w:rFonts w:ascii="inherit" w:eastAsia="Times New Roman" w:hAnsi="inherit" w:cs="Arial"/>
          <w:color w:val="222222"/>
          <w:sz w:val="21"/>
          <w:szCs w:val="21"/>
          <w:lang w:eastAsia="es-CO"/>
        </w:rPr>
        <w:t> Botón para habilitar / deshabilitar el panel INFO. A menudo sucede que el panel bloquea la parte del gráfico que se necesita para el análisis, solo presione el botón y el panel colapsará. Al presionarlo nuevamente se mostrará el panel nuevamente. No le aconsejo que desactive el panel COMERCIO de la misma manera, ya que en este caso el asesor no verá la configuración del panel.</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13.</w:t>
      </w:r>
      <w:r w:rsidRPr="005C229C">
        <w:rPr>
          <w:rFonts w:ascii="inherit" w:eastAsia="Times New Roman" w:hAnsi="inherit" w:cs="Arial"/>
          <w:color w:val="222222"/>
          <w:sz w:val="21"/>
          <w:szCs w:val="21"/>
          <w:lang w:eastAsia="es-CO"/>
        </w:rPr>
        <w:t>  El bloque del panel de información en el que se muestra la información de la cuenta. Saldo, fondos, margen, margen libre, cuántas transacciones abrió el asesor en total.</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14.</w:t>
      </w:r>
      <w:r w:rsidRPr="005C229C">
        <w:rPr>
          <w:rFonts w:ascii="inherit" w:eastAsia="Times New Roman" w:hAnsi="inherit" w:cs="Arial"/>
          <w:color w:val="222222"/>
          <w:sz w:val="21"/>
          <w:szCs w:val="21"/>
          <w:lang w:eastAsia="es-CO"/>
        </w:rPr>
        <w:t>  Bloquear estadísticas de ganancias. Aquí puede ver qué beneficio actual o cuánto ganó el asesor anteriormente.</w:t>
      </w:r>
      <w:r w:rsidRPr="005C229C">
        <w:rPr>
          <w:rFonts w:ascii="inherit" w:eastAsia="Times New Roman" w:hAnsi="inherit" w:cs="Arial"/>
          <w:color w:val="222222"/>
          <w:sz w:val="21"/>
          <w:szCs w:val="21"/>
          <w:lang w:eastAsia="es-CO"/>
        </w:rPr>
        <w:br/>
      </w:r>
      <w:r w:rsidRPr="005C229C">
        <w:rPr>
          <w:rFonts w:ascii="inherit" w:eastAsia="Times New Roman" w:hAnsi="inherit" w:cs="Arial"/>
          <w:b/>
          <w:bCs/>
          <w:color w:val="222222"/>
          <w:sz w:val="21"/>
          <w:szCs w:val="21"/>
          <w:lang w:eastAsia="es-CO"/>
        </w:rPr>
        <w:t>15.</w:t>
      </w:r>
      <w:r w:rsidRPr="005C229C">
        <w:rPr>
          <w:rFonts w:ascii="inherit" w:eastAsia="Times New Roman" w:hAnsi="inherit" w:cs="Arial"/>
          <w:color w:val="222222"/>
          <w:sz w:val="21"/>
          <w:szCs w:val="21"/>
          <w:lang w:eastAsia="es-CO"/>
        </w:rPr>
        <w:t>  Un bloque que muestra el beneficio actual de cada par por separado.</w:t>
      </w:r>
    </w:p>
    <w:p w:rsidR="002D0D7F" w:rsidRDefault="002D0D7F">
      <w:bookmarkStart w:id="0" w:name="_GoBack"/>
      <w:bookmarkEnd w:id="0"/>
    </w:p>
    <w:sectPr w:rsidR="002D0D7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29C"/>
    <w:rsid w:val="002D0D7F"/>
    <w:rsid w:val="005C22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5A31B-08A2-4B79-AA99-CC5783AE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5C229C"/>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C229C"/>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5C229C"/>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5C22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4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mforex.pro/en/wp-content/uploads/2019/06/EURUSDM1en.p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4472</Characters>
  <Application>Microsoft Office Word</Application>
  <DocSecurity>0</DocSecurity>
  <Lines>37</Lines>
  <Paragraphs>10</Paragraphs>
  <ScaleCrop>false</ScaleCrop>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dc:creator>
  <cp:keywords/>
  <dc:description/>
  <cp:lastModifiedBy>LUIS FERNANDO</cp:lastModifiedBy>
  <cp:revision>1</cp:revision>
  <dcterms:created xsi:type="dcterms:W3CDTF">2020-03-26T02:43:00Z</dcterms:created>
  <dcterms:modified xsi:type="dcterms:W3CDTF">2020-03-26T02:43:00Z</dcterms:modified>
</cp:coreProperties>
</file>